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892"/>
        <w:gridCol w:w="4205"/>
      </w:tblGrid>
      <w:tr w:rsidR="008A00FD" w:rsidRPr="008A00FD" w:rsidTr="008A00FD">
        <w:trPr>
          <w:tblCellSpacing w:w="0" w:type="dxa"/>
        </w:trPr>
        <w:tc>
          <w:tcPr>
            <w:tcW w:w="2565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val="nl-NL" w:eastAsia="nl-NL"/>
              </w:rPr>
              <w:t>Time</w:t>
            </w:r>
          </w:p>
        </w:tc>
        <w:tc>
          <w:tcPr>
            <w:tcW w:w="360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val="nl-NL" w:eastAsia="nl-NL"/>
              </w:rPr>
              <w:t>Topic</w:t>
            </w:r>
          </w:p>
        </w:tc>
        <w:tc>
          <w:tcPr>
            <w:tcW w:w="552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val="nl-NL" w:eastAsia="nl-NL"/>
              </w:rPr>
              <w:t>Speaker</w:t>
            </w:r>
          </w:p>
        </w:tc>
      </w:tr>
      <w:tr w:rsidR="008A00FD" w:rsidRPr="008A00FD" w:rsidTr="008A00FD">
        <w:trPr>
          <w:tblCellSpacing w:w="0" w:type="dxa"/>
        </w:trPr>
        <w:tc>
          <w:tcPr>
            <w:tcW w:w="2565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18:00 – 18:30</w:t>
            </w:r>
          </w:p>
        </w:tc>
        <w:tc>
          <w:tcPr>
            <w:tcW w:w="360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Registration</w:t>
            </w:r>
            <w:proofErr w:type="spellEnd"/>
          </w:p>
        </w:tc>
        <w:tc>
          <w:tcPr>
            <w:tcW w:w="552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 </w:t>
            </w:r>
          </w:p>
        </w:tc>
      </w:tr>
      <w:tr w:rsidR="008A00FD" w:rsidRPr="008A00FD" w:rsidTr="008A00FD">
        <w:trPr>
          <w:tblCellSpacing w:w="0" w:type="dxa"/>
        </w:trPr>
        <w:tc>
          <w:tcPr>
            <w:tcW w:w="2565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18:30 – 18:35</w:t>
            </w:r>
          </w:p>
        </w:tc>
        <w:tc>
          <w:tcPr>
            <w:tcW w:w="360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Welcome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note</w:t>
            </w:r>
            <w:proofErr w:type="spellEnd"/>
          </w:p>
        </w:tc>
        <w:tc>
          <w:tcPr>
            <w:tcW w:w="552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Dr. H.J.M.M. Mertens, Executive board MUMC+</w:t>
            </w:r>
          </w:p>
        </w:tc>
      </w:tr>
      <w:tr w:rsidR="008A00FD" w:rsidRPr="008A00FD" w:rsidTr="008A00FD">
        <w:trPr>
          <w:tblCellSpacing w:w="0" w:type="dxa"/>
        </w:trPr>
        <w:tc>
          <w:tcPr>
            <w:tcW w:w="2565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18:35 – 18:45</w:t>
            </w:r>
          </w:p>
        </w:tc>
        <w:tc>
          <w:tcPr>
            <w:tcW w:w="360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proofErr w:type="spellStart"/>
            <w:r w:rsidRPr="008A00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val="nl-NL" w:eastAsia="nl-NL"/>
              </w:rPr>
              <w:t>Introduction</w:t>
            </w:r>
            <w:proofErr w:type="spellEnd"/>
          </w:p>
        </w:tc>
        <w:tc>
          <w:tcPr>
            <w:tcW w:w="552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Prof. Dr. R.R.J.W. van der Hulst, Head of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Department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Plastic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and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Reconstructive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Surgery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MUMC+</w:t>
            </w:r>
          </w:p>
        </w:tc>
      </w:tr>
      <w:tr w:rsidR="008A00FD" w:rsidRPr="008A00FD" w:rsidTr="008A00FD">
        <w:trPr>
          <w:tblCellSpacing w:w="0" w:type="dxa"/>
        </w:trPr>
        <w:tc>
          <w:tcPr>
            <w:tcW w:w="2565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18:45 – 19:00</w:t>
            </w:r>
          </w:p>
        </w:tc>
        <w:tc>
          <w:tcPr>
            <w:tcW w:w="360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What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is big data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and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how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can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it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transform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healthcare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?</w:t>
            </w:r>
          </w:p>
        </w:tc>
        <w:tc>
          <w:tcPr>
            <w:tcW w:w="552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Parisa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Kamali</w:t>
            </w:r>
            <w:proofErr w:type="spellEnd"/>
          </w:p>
        </w:tc>
      </w:tr>
      <w:tr w:rsidR="008A00FD" w:rsidRPr="008A00FD" w:rsidTr="008A00FD">
        <w:trPr>
          <w:tblCellSpacing w:w="0" w:type="dxa"/>
        </w:trPr>
        <w:tc>
          <w:tcPr>
            <w:tcW w:w="2565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19:00 – 19:15</w:t>
            </w:r>
          </w:p>
        </w:tc>
        <w:tc>
          <w:tcPr>
            <w:tcW w:w="360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Translating big data research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into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clinical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practice</w:t>
            </w:r>
            <w:proofErr w:type="spellEnd"/>
          </w:p>
        </w:tc>
        <w:tc>
          <w:tcPr>
            <w:tcW w:w="552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Prof. Dr. S.J.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Lin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,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Harvard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Medical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School</w:t>
            </w:r>
          </w:p>
        </w:tc>
      </w:tr>
      <w:tr w:rsidR="008A00FD" w:rsidRPr="008A00FD" w:rsidTr="008A00FD">
        <w:trPr>
          <w:tblCellSpacing w:w="0" w:type="dxa"/>
        </w:trPr>
        <w:tc>
          <w:tcPr>
            <w:tcW w:w="2565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19:15 – 19:30</w:t>
            </w:r>
          </w:p>
        </w:tc>
        <w:tc>
          <w:tcPr>
            <w:tcW w:w="360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Big data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and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cancer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care;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current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state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and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future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perspectives</w:t>
            </w:r>
            <w:proofErr w:type="spellEnd"/>
          </w:p>
        </w:tc>
        <w:tc>
          <w:tcPr>
            <w:tcW w:w="552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Prof. Dr. V.E.P.P. Lemmens, Director of Research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and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Development of the Netherlands Comprehensive Cancer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Organization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(IKNL)</w:t>
            </w:r>
          </w:p>
        </w:tc>
      </w:tr>
      <w:tr w:rsidR="008A00FD" w:rsidRPr="008A00FD" w:rsidTr="008A00FD">
        <w:trPr>
          <w:tblCellSpacing w:w="0" w:type="dxa"/>
        </w:trPr>
        <w:tc>
          <w:tcPr>
            <w:tcW w:w="2565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19:30 – 19:45</w:t>
            </w:r>
          </w:p>
        </w:tc>
        <w:tc>
          <w:tcPr>
            <w:tcW w:w="360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val="nl-NL" w:eastAsia="nl-NL"/>
              </w:rPr>
              <w:t>Coffee break</w:t>
            </w:r>
          </w:p>
        </w:tc>
        <w:tc>
          <w:tcPr>
            <w:tcW w:w="552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 </w:t>
            </w:r>
          </w:p>
        </w:tc>
      </w:tr>
      <w:tr w:rsidR="008A00FD" w:rsidRPr="008A00FD" w:rsidTr="008A00FD">
        <w:trPr>
          <w:tblCellSpacing w:w="0" w:type="dxa"/>
        </w:trPr>
        <w:tc>
          <w:tcPr>
            <w:tcW w:w="2565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19:45 – 20:00</w:t>
            </w:r>
          </w:p>
        </w:tc>
        <w:tc>
          <w:tcPr>
            <w:tcW w:w="360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Claims-data; Using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available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data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to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transform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healthcare</w:t>
            </w:r>
            <w:proofErr w:type="spellEnd"/>
          </w:p>
        </w:tc>
        <w:tc>
          <w:tcPr>
            <w:tcW w:w="552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Dhr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Bennema, CEO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Vektis</w:t>
            </w:r>
            <w:proofErr w:type="spellEnd"/>
          </w:p>
        </w:tc>
      </w:tr>
      <w:tr w:rsidR="008A00FD" w:rsidRPr="008A00FD" w:rsidTr="008A00FD">
        <w:trPr>
          <w:tblCellSpacing w:w="0" w:type="dxa"/>
        </w:trPr>
        <w:tc>
          <w:tcPr>
            <w:tcW w:w="2565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20:00 – 20:15    </w:t>
            </w:r>
          </w:p>
        </w:tc>
        <w:tc>
          <w:tcPr>
            <w:tcW w:w="360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Big data in Healthcare; the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role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of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industry</w:t>
            </w:r>
            <w:proofErr w:type="spellEnd"/>
          </w:p>
        </w:tc>
        <w:tc>
          <w:tcPr>
            <w:tcW w:w="552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Dr.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Wischmann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,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Innovation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Program Manager in Philips Research</w:t>
            </w:r>
          </w:p>
        </w:tc>
      </w:tr>
      <w:tr w:rsidR="008A00FD" w:rsidRPr="008A00FD" w:rsidTr="008A00FD">
        <w:trPr>
          <w:tblCellSpacing w:w="0" w:type="dxa"/>
        </w:trPr>
        <w:tc>
          <w:tcPr>
            <w:tcW w:w="2565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20:15 – 20:30</w:t>
            </w:r>
          </w:p>
        </w:tc>
        <w:tc>
          <w:tcPr>
            <w:tcW w:w="360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Governance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of Big Data in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healthcare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Big Data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and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the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implications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 on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our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privacy</w:t>
            </w:r>
          </w:p>
        </w:tc>
        <w:tc>
          <w:tcPr>
            <w:tcW w:w="552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Prof. Dr.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Townend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, professor of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Law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and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Legal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Philosophy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in Health,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Medicine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and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Life Sciences, Maastricht University</w:t>
            </w:r>
          </w:p>
        </w:tc>
      </w:tr>
      <w:tr w:rsidR="008A00FD" w:rsidRPr="008A00FD" w:rsidTr="008A00FD">
        <w:trPr>
          <w:tblCellSpacing w:w="0" w:type="dxa"/>
        </w:trPr>
        <w:tc>
          <w:tcPr>
            <w:tcW w:w="2565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20:30 – 20:45</w:t>
            </w:r>
          </w:p>
        </w:tc>
        <w:tc>
          <w:tcPr>
            <w:tcW w:w="360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en-US" w:eastAsia="nl-NL"/>
              </w:rPr>
              <w:t>Healthcare Research in the</w:t>
            </w: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en-US" w:eastAsia="nl-NL"/>
              </w:rPr>
              <w:br/>
              <w:t>era of GDPR (AVG)</w:t>
            </w:r>
          </w:p>
        </w:tc>
        <w:tc>
          <w:tcPr>
            <w:tcW w:w="552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en-US" w:eastAsia="nl-NL"/>
              </w:rPr>
              <w:t>Mr.Rutte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en-US" w:eastAsia="nl-NL"/>
              </w:rPr>
              <w:t xml:space="preserve">, Politician. Member of the House of Representatives (2e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en-US" w:eastAsia="nl-NL"/>
              </w:rPr>
              <w:t>kamerlid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en-US" w:eastAsia="nl-NL"/>
              </w:rPr>
              <w:t xml:space="preserve"> VVD)(online)</w:t>
            </w:r>
          </w:p>
        </w:tc>
      </w:tr>
      <w:tr w:rsidR="008A00FD" w:rsidRPr="008A00FD" w:rsidTr="008A00FD">
        <w:trPr>
          <w:tblCellSpacing w:w="0" w:type="dxa"/>
        </w:trPr>
        <w:tc>
          <w:tcPr>
            <w:tcW w:w="2565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20:45 – 21:15</w:t>
            </w:r>
          </w:p>
        </w:tc>
        <w:tc>
          <w:tcPr>
            <w:tcW w:w="3600" w:type="dxa"/>
            <w:shd w:val="clear" w:color="auto" w:fill="auto"/>
            <w:hideMark/>
          </w:tcPr>
          <w:p w:rsidR="008A00FD" w:rsidRPr="008A00FD" w:rsidRDefault="008A00FD" w:rsidP="008A00FD">
            <w:pPr>
              <w:spacing w:after="432" w:line="43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</w:pPr>
            <w:r w:rsidRPr="008A00F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val="nl-NL" w:eastAsia="nl-NL"/>
              </w:rPr>
              <w:t>Panel:</w:t>
            </w: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how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</w:t>
            </w:r>
            <w:proofErr w:type="spellStart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can</w:t>
            </w:r>
            <w:proofErr w:type="spellEnd"/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 xml:space="preserve"> we </w:t>
            </w: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en-US" w:eastAsia="nl-NL"/>
              </w:rPr>
              <w:t xml:space="preserve">collaborate </w:t>
            </w:r>
            <w:r w:rsidRPr="008A00FD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nl-NL" w:eastAsia="nl-NL"/>
              </w:rPr>
              <w:t>&amp; Q&amp;A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00FD" w:rsidRPr="008A00FD" w:rsidRDefault="008A00FD" w:rsidP="008A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 w:rsidR="00997C7F" w:rsidRDefault="00997C7F"/>
    <w:p w:rsidR="00997C7F" w:rsidRDefault="00997C7F">
      <w:r>
        <w:br w:type="page"/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What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is big data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how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can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it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transform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br/>
        <w:t xml:space="preserve">Dr.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Parisa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Kamali</w:t>
      </w:r>
      <w:proofErr w:type="spellEnd"/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Dr.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Kamali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give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global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overview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on the concept of Big Data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how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can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transform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. In her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presentation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,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she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elaborate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on the background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provide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comprehensive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overview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of the different types of big data in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.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Moreover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,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she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elaborate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on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how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big data research is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currently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transforming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.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This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form a bridge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introduction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of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other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speakers.</w:t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Bio</w:t>
      </w: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br/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Parisa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Kamali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currently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working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as resident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Emergency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Medicine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at the Red Cross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Hospital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in Beverwijk.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After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completing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her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medical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education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she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worked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as a Senior Research Fellow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Ph.D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. student at the Department of Plastic and Reconstructive Surgery at Harvard Medical School/BIDMC.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Focusing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on Big Data research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health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disparities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both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nationally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internationally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, Dr.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Kamali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published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more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than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30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original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articles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presented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at multiple conferences. On 17</w:t>
      </w:r>
      <w:r w:rsidRPr="00997C7F">
        <w:rPr>
          <w:rFonts w:ascii="TheSans" w:eastAsia="Times New Roman" w:hAnsi="TheSans" w:cs="Helvetica"/>
          <w:i/>
          <w:iCs/>
          <w:color w:val="000000"/>
          <w:sz w:val="17"/>
          <w:szCs w:val="17"/>
          <w:vertAlign w:val="superscript"/>
          <w:lang w:val="nl-NL" w:eastAsia="nl-NL"/>
        </w:rPr>
        <w:t>th</w:t>
      </w: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of April 2019,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she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defend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her Thesis “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Breast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Reconstruction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: Trends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Variation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using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Big Data”.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Moreover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she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is the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organizer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of the symposium “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Transforming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Healthcare Through Big Data”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that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be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held on the 17</w:t>
      </w:r>
      <w:r w:rsidRPr="00997C7F">
        <w:rPr>
          <w:rFonts w:ascii="TheSans" w:eastAsia="Times New Roman" w:hAnsi="TheSans" w:cs="Helvetica"/>
          <w:i/>
          <w:iCs/>
          <w:color w:val="000000"/>
          <w:sz w:val="17"/>
          <w:szCs w:val="17"/>
          <w:vertAlign w:val="superscript"/>
          <w:lang w:val="nl-NL" w:eastAsia="nl-NL"/>
        </w:rPr>
        <w:t>th</w:t>
      </w: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of April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following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the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defense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of her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Ph.D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.</w:t>
      </w:r>
    </w:p>
    <w:p w:rsidR="00997C7F" w:rsidRPr="00997C7F" w:rsidRDefault="00997C7F" w:rsidP="00997C7F">
      <w:pPr>
        <w:shd w:val="clear" w:color="auto" w:fill="FFFFFF"/>
        <w:spacing w:before="300" w:after="300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pict>
          <v:rect id="_x0000_i1025" style="width:0;height:0" o:hralign="center" o:hrstd="t" o:hr="t" fillcolor="#a0a0a0" stroked="f"/>
        </w:pict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Translating big data research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into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clinical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practice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br/>
        <w:t xml:space="preserve">Prof. Dr. S.J.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Lin</w:t>
      </w:r>
      <w:proofErr w:type="spellEnd"/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Prof. Dr. Samuel J.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Lin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elaborate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on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how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big data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outcomes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research have been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used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into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clinical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plastic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surgical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practice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. 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elaborate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on the different types of “big data” databases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available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how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has been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impacting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improving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clinical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care.</w:t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Bio</w:t>
      </w: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br/>
        <w:t>Dr. Samuel J. 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Lin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 is 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Associate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 Professor of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Surgery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at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Harvard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Medical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School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holds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appointments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as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attending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Plastic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Surgeon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with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Harvard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Medical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Faculty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Physicians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at BIDMC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the Massachusetts Eye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Ear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Infirmary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in Boston, Massachusetts. Dr.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Lin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serves as Program Director of the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Harvard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Plastic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Surgery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Residency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Training Program at BIDMC,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he is co-director of the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Harvard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Aesthetic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Reconstructive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Plastic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Surgery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Fellowship at BIDMC. He serves as the 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Outcomes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Section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editor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 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Associate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Editor on the Editorial board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for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Plastic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Reconstructive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Surgery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 as well as 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Associate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Editor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for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Plastic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Reconstructive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Surgery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-Global Open.  Dr.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Lin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, his team,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his collaborators have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regularly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published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scientific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papers in the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literature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further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knowledge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about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plastic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surgery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other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topics. Dr.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Lin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active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Board Member of the New England Susan G. Komen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for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the Cure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Bright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Pink Foundations. He is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actively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involved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in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innovation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emerging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technologies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 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entrepreneurship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. </w:t>
      </w:r>
    </w:p>
    <w:p w:rsidR="00997C7F" w:rsidRPr="00997C7F" w:rsidRDefault="00997C7F" w:rsidP="00997C7F">
      <w:pPr>
        <w:shd w:val="clear" w:color="auto" w:fill="FFFFFF"/>
        <w:spacing w:before="300" w:after="300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pict>
          <v:rect id="_x0000_i1026" style="width:0;height:0" o:hralign="center" o:hrstd="t" o:hr="t" fillcolor="#a0a0a0" stroked="f"/>
        </w:pict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Big data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cancer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care;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current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state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future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perspectives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br/>
        <w:t>Prof. Dr. V. Lemmens</w:t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Measuring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quality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is more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popular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than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ever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before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. Health care does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not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escape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from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this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trend: more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more,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hospitals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individual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providers are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being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rated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compared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. But does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measuring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health care lead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better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quality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of care? In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this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talk Prof. Dr. Lemmens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elaborate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on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relation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between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quality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of care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registry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indicators.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Moreover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, 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touch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on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how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current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era of big data in the form of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registries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,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quality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of care indicators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personalized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care is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transforming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cancer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care.</w:t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Bio</w:t>
      </w: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br/>
        <w:t xml:space="preserve">Prof. Dr.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Valery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Lemmens is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head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of the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Department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of Research &amp; Development of the Comprehensive Cancer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Organisation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the Netherlands (IKNL). He is a full professor of Cancer Surveillance at Erasmus MC University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Medical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Centre Rotterdam. He has (co-)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authored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270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international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peer-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reviewed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articles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, the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majority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on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colorectal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cancer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. He has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worked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on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several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linkage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studies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such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as the Netherlands Cancer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Registry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(NCR) – PHARMO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linkage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also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has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extensive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experience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in studies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using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pooled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European data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such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as EUROCARE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EURECCA studies. Next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cancer-related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research, he has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published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on the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effectiveness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of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interventions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prevent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obesity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among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adults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.</w:t>
      </w:r>
    </w:p>
    <w:p w:rsidR="00997C7F" w:rsidRPr="00997C7F" w:rsidRDefault="00997C7F" w:rsidP="00997C7F">
      <w:pPr>
        <w:shd w:val="clear" w:color="auto" w:fill="FFFFFF"/>
        <w:spacing w:before="300" w:after="300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pict>
          <v:rect id="_x0000_i1027" style="width:0;height:0" o:hralign="center" o:hrstd="t" o:hr="t" fillcolor="#a0a0a0" stroked="f"/>
        </w:pict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Claims-data; Using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available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data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transform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br/>
        <w:t>Mr Bennema</w:t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In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this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lecture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, Mr Bennema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be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touching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on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how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Vektis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,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leading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information provider in the Netherlands, is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using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claims-data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transform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.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What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can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we do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with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currently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available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data.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What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are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pittfalls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?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What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is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needed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collaborate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? How is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Vektis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using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available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data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transform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?</w:t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Bio</w:t>
      </w: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br/>
        <w:t xml:space="preserve">Herman Bennema is CEO of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Vektis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, the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leading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information provider in the Netherlands. Mr Bennema is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experienced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executive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with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inherent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strength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of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improving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businesses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based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on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analytical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insight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. Under his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leadership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Vektis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evolved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from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organization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focused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on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collecting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claims-data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information provider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for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the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entire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system in the Netherlands. Prior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Vektis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, Mr Bennema was boardmember of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Solera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Netherlands,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specializing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in automobile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related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claims. Herman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started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his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career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as a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technical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officer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in the Royal Netherlands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Airforce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after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finishing his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education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at the Royal Military Academie. He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also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holds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a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graduate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degree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in business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economics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.  </w:t>
      </w:r>
    </w:p>
    <w:p w:rsidR="00997C7F" w:rsidRPr="00997C7F" w:rsidRDefault="00997C7F" w:rsidP="00997C7F">
      <w:pPr>
        <w:shd w:val="clear" w:color="auto" w:fill="FFFFFF"/>
        <w:spacing w:before="300" w:after="300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pict>
          <v:rect id="_x0000_i1028" style="width:0;height:0" o:hralign="center" o:hrstd="t" o:hr="t" fillcolor="#a0a0a0" stroked="f"/>
        </w:pict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Big data in Healthcare; the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role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of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industry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br/>
        <w:t xml:space="preserve">Dr.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Wischmann</w:t>
      </w:r>
      <w:proofErr w:type="spellEnd"/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Royal Philips,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together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with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its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consortium partners, have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received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funding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from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EU’s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Horizon 2020 program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pilot big data solutions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achieve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better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patient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outcomes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in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at 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lower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cost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.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three-year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program is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largest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EU-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funded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initiative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transform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region’s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sector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through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use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of big data. The program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aims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improve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patient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outcomes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increase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productivity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in the health sector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by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applying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Artificial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Intelligence (AI)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technologies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complex datasets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across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the data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value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chain.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This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includes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data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from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patients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,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providers, health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insurers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medical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technology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providers. Dr.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Wischmann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be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elaborating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on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what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role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of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industry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has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shifted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over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years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,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how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is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now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a major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player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in the field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by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using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big data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transform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.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Moreover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, Dr.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Wischmann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touch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on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future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of big data in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.</w:t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Bio</w:t>
      </w: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br/>
        <w:t>Hans-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Aloys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Wischmann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was born in Germany,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studied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physics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in Cologne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Lyon,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joined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Philips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almost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28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years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ago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immediately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after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receiving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his PhD. He has held a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variety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of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positions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within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research, the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business,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the CTO office,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including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a few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years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of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overseeing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the Research lab in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Suresnes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, France. As the Head of Philips Research North America,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together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with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his team, he has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moved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the lab in 2015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from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Briarcliff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Manor, NY,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Cambridge, MA –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built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collaborations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partnerships in the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fascinating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vibrating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health-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tech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ecosystem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there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. Dr.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Wischmann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returned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Europe in 2017,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currently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responsible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for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the research programs in Healthcare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Informatics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Population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Health Management. </w:t>
      </w:r>
    </w:p>
    <w:p w:rsidR="00997C7F" w:rsidRPr="00997C7F" w:rsidRDefault="00997C7F" w:rsidP="00997C7F">
      <w:pPr>
        <w:shd w:val="clear" w:color="auto" w:fill="FFFFFF"/>
        <w:spacing w:before="300" w:after="300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pict>
          <v:rect id="_x0000_i1029" style="width:0;height:0" o:hralign="center" o:hrstd="t" o:hr="t" fillcolor="#a0a0a0" stroked="f"/>
        </w:pict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Governance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of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Big Data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the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implications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for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our</w:t>
      </w:r>
      <w:proofErr w:type="spellEnd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 xml:space="preserve"> privacy</w:t>
      </w:r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br/>
        <w:t xml:space="preserve">Prof. Dr. </w:t>
      </w:r>
      <w:proofErr w:type="spellStart"/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Townend</w:t>
      </w:r>
      <w:proofErr w:type="spellEnd"/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Technological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developments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in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medicine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, life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sciences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raise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questions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about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governance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,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regulation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ethics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.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Linking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deep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mining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medical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data offers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tremendous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opportunities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for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advances in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.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Linking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data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brings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us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one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step closer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personalized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medicine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, but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also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raises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questions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about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implications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for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our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privacy,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our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systems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our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personal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collective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responsibilities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.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This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lecture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first look at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uses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of data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across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healthcare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industry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,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particularly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consider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possible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harms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that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could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follow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use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of data. It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then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consider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those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benefits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harms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within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two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concepts of privacy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property.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Finally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,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see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how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far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current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data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protection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intellectual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property regimes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produce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adequate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safeguards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for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various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interests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that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operate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in the area.</w:t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Bio</w:t>
      </w: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br/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Dr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David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Townend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is Professor of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Law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Legal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Philosophy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in Health,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Medicine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Life Sciences in Maastricht University. His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theoretical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work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focuses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on the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relationship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between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autonomy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solidarity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in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relation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health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life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science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research;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politeness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governance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;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, on the concepts of privacy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property in research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governance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. His practical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work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focuses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on data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protection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privacy in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medical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health research,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on the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creation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of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effective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research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governance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.</w:t>
      </w:r>
    </w:p>
    <w:p w:rsidR="00997C7F" w:rsidRPr="00997C7F" w:rsidRDefault="00997C7F" w:rsidP="00997C7F">
      <w:pPr>
        <w:shd w:val="clear" w:color="auto" w:fill="FFFFFF"/>
        <w:spacing w:before="300" w:after="300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pict>
          <v:rect id="_x0000_i1030" style="width:0;height:0" o:hralign="center" o:hrstd="t" o:hr="t" fillcolor="#a0a0a0" stroked="f"/>
        </w:pict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t>Healthcare Research in the era of GDPR (AVG)</w:t>
      </w:r>
      <w:r w:rsidRPr="00997C7F">
        <w:rPr>
          <w:rFonts w:ascii="TheSans" w:eastAsia="Times New Roman" w:hAnsi="TheSans" w:cs="Helvetica"/>
          <w:b/>
          <w:bCs/>
          <w:color w:val="000000"/>
          <w:sz w:val="23"/>
          <w:szCs w:val="23"/>
          <w:lang w:val="nl-NL" w:eastAsia="nl-NL"/>
        </w:rPr>
        <w:br/>
        <w:t>Mr. A. Rutte</w:t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After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four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years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of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preparation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debate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in the European Union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Parliament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, the General Data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Protection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Regulation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(GDPR)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came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into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force in May 2018. The GDPR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recognizes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that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everyone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“has the right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protection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of personal data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concerning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him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or her”.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collection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use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of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our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personal data have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come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under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increased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scrunity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public attention in recent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years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,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introduction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of GDPR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being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a prime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example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.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When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it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comes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medical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data,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how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do we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balance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protecting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patents’ data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with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the benefits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that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big data research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combined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datasets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bring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medical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research? Mr. Rutte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will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discuss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the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current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hurdles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from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a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governmental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perspective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. (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presentation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>through</w:t>
      </w:r>
      <w:proofErr w:type="spellEnd"/>
      <w:r w:rsidRPr="00997C7F"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  <w:t xml:space="preserve"> online ZOOM meeting)</w:t>
      </w:r>
    </w:p>
    <w:p w:rsidR="00997C7F" w:rsidRPr="00997C7F" w:rsidRDefault="00997C7F" w:rsidP="00997C7F">
      <w:pPr>
        <w:shd w:val="clear" w:color="auto" w:fill="FFFFFF"/>
        <w:spacing w:after="432" w:line="432" w:lineRule="atLeast"/>
        <w:rPr>
          <w:rFonts w:ascii="TheSans" w:eastAsia="Times New Roman" w:hAnsi="TheSans" w:cs="Helvetica"/>
          <w:color w:val="000000"/>
          <w:sz w:val="23"/>
          <w:szCs w:val="23"/>
          <w:lang w:val="nl-NL" w:eastAsia="nl-NL"/>
        </w:rPr>
      </w:pP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Bio:</w:t>
      </w: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br/>
        <w:t xml:space="preserve">Mr. A. Rutte is a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politician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member of the House of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Representatives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(VVD 2e kamer lid). As a member of the 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fldChar w:fldCharType="begin"/>
      </w: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instrText xml:space="preserve"> HYPERLINK "https://en.wikipedia.org/wiki/People%27s_Party_for_Freedom_and_Democracy" \o "People's Party for Freedom and Democracy" \t "_blank" </w:instrText>
      </w: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fldChar w:fldCharType="separate"/>
      </w:r>
      <w:r w:rsidRPr="00997C7F">
        <w:rPr>
          <w:rFonts w:ascii="TheSans" w:eastAsia="Times New Roman" w:hAnsi="TheSans" w:cs="Helvetica"/>
          <w:i/>
          <w:iCs/>
          <w:color w:val="004489"/>
          <w:sz w:val="23"/>
          <w:szCs w:val="23"/>
          <w:lang w:val="nl-NL" w:eastAsia="nl-NL"/>
        </w:rPr>
        <w:t>People's</w:t>
      </w:r>
      <w:proofErr w:type="spellEnd"/>
      <w:r w:rsidRPr="00997C7F">
        <w:rPr>
          <w:rFonts w:ascii="TheSans" w:eastAsia="Times New Roman" w:hAnsi="TheSans" w:cs="Helvetica"/>
          <w:i/>
          <w:iCs/>
          <w:color w:val="004489"/>
          <w:sz w:val="23"/>
          <w:szCs w:val="23"/>
          <w:lang w:val="nl-NL" w:eastAsia="nl-NL"/>
        </w:rPr>
        <w:t xml:space="preserve"> Party </w:t>
      </w:r>
      <w:proofErr w:type="spellStart"/>
      <w:r w:rsidRPr="00997C7F">
        <w:rPr>
          <w:rFonts w:ascii="TheSans" w:eastAsia="Times New Roman" w:hAnsi="TheSans" w:cs="Helvetica"/>
          <w:i/>
          <w:iCs/>
          <w:color w:val="004489"/>
          <w:sz w:val="23"/>
          <w:szCs w:val="23"/>
          <w:lang w:val="nl-NL" w:eastAsia="nl-NL"/>
        </w:rPr>
        <w:t>for</w:t>
      </w:r>
      <w:proofErr w:type="spellEnd"/>
      <w:r w:rsidRPr="00997C7F">
        <w:rPr>
          <w:rFonts w:ascii="TheSans" w:eastAsia="Times New Roman" w:hAnsi="TheSans" w:cs="Helvetica"/>
          <w:i/>
          <w:iCs/>
          <w:color w:val="004489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4489"/>
          <w:sz w:val="23"/>
          <w:szCs w:val="23"/>
          <w:lang w:val="nl-NL" w:eastAsia="nl-NL"/>
        </w:rPr>
        <w:t>Freedom</w:t>
      </w:r>
      <w:proofErr w:type="spellEnd"/>
      <w:r w:rsidRPr="00997C7F">
        <w:rPr>
          <w:rFonts w:ascii="TheSans" w:eastAsia="Times New Roman" w:hAnsi="TheSans" w:cs="Helvetica"/>
          <w:i/>
          <w:iCs/>
          <w:color w:val="004489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4489"/>
          <w:sz w:val="23"/>
          <w:szCs w:val="23"/>
          <w:lang w:val="nl-NL" w:eastAsia="nl-NL"/>
        </w:rPr>
        <w:t>and</w:t>
      </w:r>
      <w:proofErr w:type="spellEnd"/>
      <w:r w:rsidRPr="00997C7F">
        <w:rPr>
          <w:rFonts w:ascii="TheSans" w:eastAsia="Times New Roman" w:hAnsi="TheSans" w:cs="Helvetica"/>
          <w:i/>
          <w:iCs/>
          <w:color w:val="004489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4489"/>
          <w:sz w:val="23"/>
          <w:szCs w:val="23"/>
          <w:lang w:val="nl-NL" w:eastAsia="nl-NL"/>
        </w:rPr>
        <w:t>Democracy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fldChar w:fldCharType="end"/>
      </w: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 (Volkspartij voor Vrijheid en Democratie) he has been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an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 </w:t>
      </w:r>
      <w:hyperlink r:id="rId5" w:tgtFrame="_blank" w:tooltip="House of Representatives (Netherlands)" w:history="1">
        <w:r w:rsidRPr="00997C7F">
          <w:rPr>
            <w:rFonts w:ascii="TheSans" w:eastAsia="Times New Roman" w:hAnsi="TheSans" w:cs="Helvetica"/>
            <w:i/>
            <w:iCs/>
            <w:color w:val="004489"/>
            <w:sz w:val="23"/>
            <w:szCs w:val="23"/>
            <w:lang w:val="nl-NL" w:eastAsia="nl-NL"/>
          </w:rPr>
          <w:t>MP</w:t>
        </w:r>
      </w:hyperlink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 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since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20 September 2012. Prior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this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, he was a member of the 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fldChar w:fldCharType="begin"/>
      </w: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instrText xml:space="preserve"> HYPERLINK "https://en.wikipedia.org/wiki/Municipal_council_(Netherlands)" \o "Municipal council (Netherlands)" \t "_blank" </w:instrText>
      </w: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fldChar w:fldCharType="separate"/>
      </w:r>
      <w:r w:rsidRPr="00997C7F">
        <w:rPr>
          <w:rFonts w:ascii="TheSans" w:eastAsia="Times New Roman" w:hAnsi="TheSans" w:cs="Helvetica"/>
          <w:i/>
          <w:iCs/>
          <w:color w:val="004489"/>
          <w:sz w:val="23"/>
          <w:szCs w:val="23"/>
          <w:lang w:val="nl-NL" w:eastAsia="nl-NL"/>
        </w:rPr>
        <w:t>municipal</w:t>
      </w:r>
      <w:proofErr w:type="spellEnd"/>
      <w:r w:rsidRPr="00997C7F">
        <w:rPr>
          <w:rFonts w:ascii="TheSans" w:eastAsia="Times New Roman" w:hAnsi="TheSans" w:cs="Helvetica"/>
          <w:i/>
          <w:iCs/>
          <w:color w:val="004489"/>
          <w:sz w:val="23"/>
          <w:szCs w:val="23"/>
          <w:lang w:val="nl-NL" w:eastAsia="nl-NL"/>
        </w:rPr>
        <w:t xml:space="preserve"> council</w:t>
      </w: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fldChar w:fldCharType="end"/>
      </w:r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 of </w:t>
      </w:r>
      <w:hyperlink r:id="rId6" w:tgtFrame="_blank" w:tooltip="Groningen" w:history="1">
        <w:r w:rsidRPr="00997C7F">
          <w:rPr>
            <w:rFonts w:ascii="TheSans" w:eastAsia="Times New Roman" w:hAnsi="TheSans" w:cs="Helvetica"/>
            <w:i/>
            <w:iCs/>
            <w:color w:val="004489"/>
            <w:sz w:val="23"/>
            <w:szCs w:val="23"/>
            <w:lang w:val="nl-NL" w:eastAsia="nl-NL"/>
          </w:rPr>
          <w:t>Groningen</w:t>
        </w:r>
      </w:hyperlink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 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from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2010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to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2012. Mr. Rutte is a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passionate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advocate </w:t>
      </w:r>
      <w:proofErr w:type="spellStart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>for</w:t>
      </w:r>
      <w:proofErr w:type="spellEnd"/>
      <w:r w:rsidRPr="00997C7F">
        <w:rPr>
          <w:rFonts w:ascii="TheSans" w:eastAsia="Times New Roman" w:hAnsi="TheSans" w:cs="Helvetica"/>
          <w:i/>
          <w:iCs/>
          <w:color w:val="000000"/>
          <w:sz w:val="23"/>
          <w:szCs w:val="23"/>
          <w:lang w:val="nl-NL" w:eastAsia="nl-NL"/>
        </w:rPr>
        <w:t xml:space="preserve"> Big Data research in Healthcare. </w:t>
      </w:r>
    </w:p>
    <w:p w:rsidR="0018170E" w:rsidRDefault="00997C7F">
      <w:bookmarkStart w:id="0" w:name="_GoBack"/>
      <w:bookmarkEnd w:id="0"/>
    </w:p>
    <w:sectPr w:rsidR="001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e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FD"/>
    <w:rsid w:val="001745CC"/>
    <w:rsid w:val="003C69A1"/>
    <w:rsid w:val="004C5AAB"/>
    <w:rsid w:val="00872E51"/>
    <w:rsid w:val="008A00FD"/>
    <w:rsid w:val="009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A00FD"/>
    <w:pPr>
      <w:spacing w:after="432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997C7F"/>
    <w:rPr>
      <w:i/>
      <w:iCs/>
    </w:rPr>
  </w:style>
  <w:style w:type="paragraph" w:customStyle="1" w:styleId="paragraph">
    <w:name w:val="paragraph"/>
    <w:basedOn w:val="Standaard"/>
    <w:rsid w:val="00997C7F"/>
    <w:pPr>
      <w:spacing w:after="432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A00FD"/>
    <w:pPr>
      <w:spacing w:after="432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997C7F"/>
    <w:rPr>
      <w:i/>
      <w:iCs/>
    </w:rPr>
  </w:style>
  <w:style w:type="paragraph" w:customStyle="1" w:styleId="paragraph">
    <w:name w:val="paragraph"/>
    <w:basedOn w:val="Standaard"/>
    <w:rsid w:val="00997C7F"/>
    <w:pPr>
      <w:spacing w:after="432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3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6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421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Groningen" TargetMode="External"/><Relationship Id="rId5" Type="http://schemas.openxmlformats.org/officeDocument/2006/relationships/hyperlink" Target="https://en.wikipedia.org/wiki/House_of_Representatives_(Netherlands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Schop S.J. (Sander)</dc:creator>
  <cp:lastModifiedBy>Schop S.J. (Sander)</cp:lastModifiedBy>
  <cp:revision>2</cp:revision>
  <dcterms:created xsi:type="dcterms:W3CDTF">2019-03-10T15:04:00Z</dcterms:created>
  <dcterms:modified xsi:type="dcterms:W3CDTF">2019-03-10T15:04:00Z</dcterms:modified>
</cp:coreProperties>
</file>